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D9E9" w14:textId="77777777" w:rsidR="0060252B" w:rsidRDefault="0060252B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668858D" w14:textId="77777777" w:rsidR="0004640C" w:rsidRPr="005755A0" w:rsidRDefault="0004640C" w:rsidP="006025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52D85E1E" w14:textId="77777777" w:rsidR="0060252B" w:rsidRPr="00521AAE" w:rsidRDefault="0060252B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521AAE">
        <w:rPr>
          <w:rFonts w:ascii="Bookman Old Style" w:hAnsi="Bookman Old Style" w:cs="Arial"/>
          <w:noProof/>
          <w:sz w:val="20"/>
          <w:szCs w:val="20"/>
          <w:lang w:val="es-CO" w:eastAsia="es-CO"/>
        </w:rPr>
        <w:drawing>
          <wp:inline distT="0" distB="0" distL="0" distR="0" wp14:anchorId="78F70034" wp14:editId="36CFC027">
            <wp:extent cx="1343025" cy="1343025"/>
            <wp:effectExtent l="0" t="0" r="9525" b="9525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AAE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</w:p>
    <w:p w14:paraId="519F9451" w14:textId="77777777" w:rsidR="005755A0" w:rsidRPr="00521AAE" w:rsidRDefault="005755A0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14:paraId="7209C515" w14:textId="77777777" w:rsidR="0004640C" w:rsidRPr="00521AAE" w:rsidRDefault="0004640C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14:paraId="7BDAB8C7" w14:textId="77777777" w:rsidR="0060252B" w:rsidRPr="00FB14BB" w:rsidRDefault="0060252B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>UNIVERSIDAD DE NARIÑO</w:t>
      </w:r>
    </w:p>
    <w:p w14:paraId="10EF97C4" w14:textId="77777777" w:rsidR="0048412A" w:rsidRPr="00FB14BB" w:rsidRDefault="0048412A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>ADENDO No. 00</w:t>
      </w:r>
      <w:r w:rsidR="006F6112"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>1</w:t>
      </w:r>
      <w:r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– 2015</w:t>
      </w:r>
    </w:p>
    <w:p w14:paraId="11E1A4CC" w14:textId="0DC0F760" w:rsidR="0048412A" w:rsidRPr="00FB14BB" w:rsidRDefault="00150040" w:rsidP="007549D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  <w:r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>AGOSTO 25</w:t>
      </w:r>
      <w:r w:rsidR="00C01358"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de 2015</w:t>
      </w:r>
    </w:p>
    <w:p w14:paraId="187BDF48" w14:textId="77777777" w:rsidR="0004640C" w:rsidRPr="00FB14BB" w:rsidRDefault="0004640C" w:rsidP="0060252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0"/>
          <w:szCs w:val="20"/>
          <w:lang w:val="es-CO"/>
        </w:rPr>
      </w:pPr>
    </w:p>
    <w:p w14:paraId="476F769C" w14:textId="77777777" w:rsidR="00150040" w:rsidRPr="00FB14BB" w:rsidRDefault="006F6112" w:rsidP="00150040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 w:cs="Arial"/>
          <w:b/>
          <w:sz w:val="20"/>
          <w:szCs w:val="20"/>
        </w:rPr>
        <w:t>Convocatoria Pública de menor</w:t>
      </w:r>
      <w:r w:rsidR="00C01358" w:rsidRPr="00FB14BB">
        <w:rPr>
          <w:rFonts w:ascii="Bookman Old Style" w:hAnsi="Bookman Old Style" w:cs="Arial"/>
          <w:b/>
          <w:sz w:val="20"/>
          <w:szCs w:val="20"/>
        </w:rPr>
        <w:t xml:space="preserve"> cuantía  </w:t>
      </w:r>
      <w:r w:rsidR="0048412A" w:rsidRPr="00FB14BB">
        <w:rPr>
          <w:rFonts w:ascii="Bookman Old Style" w:hAnsi="Bookman Old Style" w:cs="Arial"/>
          <w:b/>
          <w:sz w:val="20"/>
          <w:szCs w:val="20"/>
        </w:rPr>
        <w:t xml:space="preserve"> NO. </w:t>
      </w:r>
      <w:r w:rsidR="00150040" w:rsidRPr="00FB14BB">
        <w:rPr>
          <w:rFonts w:ascii="Bookman Old Style" w:hAnsi="Bookman Old Style"/>
          <w:b/>
          <w:sz w:val="20"/>
          <w:szCs w:val="20"/>
          <w:lang w:val="es-ES_tradnl"/>
        </w:rPr>
        <w:t>0315703 No. de 2015</w:t>
      </w:r>
    </w:p>
    <w:p w14:paraId="00879158" w14:textId="3EDEDF36" w:rsidR="0060252B" w:rsidRPr="00FB14BB" w:rsidRDefault="0060252B" w:rsidP="007549D3">
      <w:pPr>
        <w:suppressAutoHyphens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BDF7AF0" w14:textId="77777777" w:rsidR="0004640C" w:rsidRPr="00FB14BB" w:rsidRDefault="0004640C" w:rsidP="00D04AF7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741E755F" w14:textId="165266AC" w:rsidR="004D67C4" w:rsidRPr="00FB14BB" w:rsidRDefault="003E4E82" w:rsidP="007549D3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>La Junta de Compras y Contratación</w:t>
      </w:r>
      <w:r w:rsidR="0048412A" w:rsidRPr="00FB14BB">
        <w:rPr>
          <w:rFonts w:ascii="Bookman Old Style" w:hAnsi="Bookman Old Style" w:cs="Arial"/>
          <w:sz w:val="20"/>
          <w:szCs w:val="20"/>
        </w:rPr>
        <w:t xml:space="preserve"> de la Universidad de Nariño, con base en el </w:t>
      </w:r>
      <w:r w:rsidR="00C01358" w:rsidRPr="00FB14BB">
        <w:rPr>
          <w:rFonts w:ascii="Bookman Old Style" w:hAnsi="Bookman Old Style" w:cs="Arial"/>
          <w:sz w:val="20"/>
          <w:szCs w:val="20"/>
        </w:rPr>
        <w:t>acuerdo 0126</w:t>
      </w:r>
      <w:r w:rsidR="00443C56" w:rsidRPr="00FB14BB">
        <w:rPr>
          <w:rFonts w:ascii="Bookman Old Style" w:hAnsi="Bookman Old Style" w:cs="Arial"/>
          <w:sz w:val="20"/>
          <w:szCs w:val="20"/>
        </w:rPr>
        <w:t xml:space="preserve"> de 2014</w:t>
      </w:r>
      <w:r w:rsidR="00A73B99" w:rsidRPr="00FB14BB">
        <w:rPr>
          <w:rFonts w:ascii="Bookman Old Style" w:hAnsi="Bookman Old Style" w:cs="Arial"/>
          <w:sz w:val="20"/>
          <w:szCs w:val="20"/>
        </w:rPr>
        <w:t>,</w:t>
      </w:r>
      <w:r w:rsidR="0048412A" w:rsidRPr="00FB14BB">
        <w:rPr>
          <w:rFonts w:ascii="Bookman Old Style" w:hAnsi="Bookman Old Style" w:cs="Arial"/>
          <w:sz w:val="20"/>
          <w:szCs w:val="20"/>
        </w:rPr>
        <w:t xml:space="preserve"> </w:t>
      </w:r>
      <w:r w:rsidR="00A73B99" w:rsidRPr="00FB14BB">
        <w:rPr>
          <w:rFonts w:ascii="Bookman Old Style" w:hAnsi="Bookman Old Style" w:cs="Arial"/>
          <w:sz w:val="20"/>
          <w:szCs w:val="20"/>
        </w:rPr>
        <w:t xml:space="preserve"> aprobado por el Consej</w:t>
      </w:r>
      <w:r w:rsidR="00C01358" w:rsidRPr="00FB14BB">
        <w:rPr>
          <w:rFonts w:ascii="Bookman Old Style" w:hAnsi="Bookman Old Style" w:cs="Arial"/>
          <w:sz w:val="20"/>
          <w:szCs w:val="20"/>
        </w:rPr>
        <w:t xml:space="preserve">o Superior Universitario y  </w:t>
      </w:r>
    </w:p>
    <w:p w14:paraId="4F89BFA9" w14:textId="77777777" w:rsidR="0004640C" w:rsidRPr="00FB14BB" w:rsidRDefault="0004640C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14:paraId="728AA3DD" w14:textId="77777777" w:rsidR="0048412A" w:rsidRPr="00FB14BB" w:rsidRDefault="0048412A" w:rsidP="0048412A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>CONSIDERANDO</w:t>
      </w:r>
    </w:p>
    <w:p w14:paraId="4BBD3D96" w14:textId="77777777" w:rsidR="007706E8" w:rsidRPr="00FB14BB" w:rsidRDefault="007706E8" w:rsidP="00E53154">
      <w:pPr>
        <w:pStyle w:val="Prrafodelista"/>
        <w:suppressAutoHyphens/>
        <w:rPr>
          <w:rFonts w:ascii="Bookman Old Style" w:hAnsi="Bookman Old Style" w:cs="Arial"/>
          <w:sz w:val="20"/>
          <w:szCs w:val="20"/>
        </w:rPr>
      </w:pPr>
    </w:p>
    <w:p w14:paraId="35F07756" w14:textId="77777777" w:rsidR="00E53154" w:rsidRPr="00FB14BB" w:rsidRDefault="00E53154" w:rsidP="00E53154">
      <w:pPr>
        <w:pStyle w:val="Prrafodelista"/>
        <w:suppressAutoHyphens/>
        <w:rPr>
          <w:rFonts w:ascii="Bookman Old Style" w:hAnsi="Bookman Old Style" w:cs="Arial"/>
          <w:sz w:val="20"/>
          <w:szCs w:val="20"/>
        </w:rPr>
      </w:pPr>
    </w:p>
    <w:p w14:paraId="1A918642" w14:textId="5CC5D2B1" w:rsidR="00F86B95" w:rsidRPr="00FB14BB" w:rsidRDefault="007706E8" w:rsidP="00150040">
      <w:pPr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 w:cs="Arial"/>
          <w:sz w:val="20"/>
          <w:szCs w:val="20"/>
        </w:rPr>
        <w:t>Que actualmente la Universidad de Nariño, adelanta el proceso de</w:t>
      </w:r>
      <w:r w:rsidR="00150040" w:rsidRPr="00FB14BB">
        <w:rPr>
          <w:rFonts w:ascii="Bookman Old Style" w:hAnsi="Bookman Old Style" w:cs="Arial"/>
          <w:sz w:val="20"/>
          <w:szCs w:val="20"/>
        </w:rPr>
        <w:t xml:space="preserve"> </w:t>
      </w:r>
      <w:r w:rsidR="00150040" w:rsidRPr="00FB14BB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  <w:r w:rsidR="00150040" w:rsidRPr="00FB14BB">
        <w:rPr>
          <w:rFonts w:ascii="Bookman Old Style" w:hAnsi="Bookman Old Style" w:cs="Arial"/>
          <w:b/>
          <w:sz w:val="20"/>
          <w:szCs w:val="20"/>
        </w:rPr>
        <w:t xml:space="preserve">Convocatoria Pública de menor cuantía   NO. </w:t>
      </w:r>
      <w:r w:rsidR="00150040" w:rsidRPr="00FB14BB">
        <w:rPr>
          <w:rFonts w:ascii="Bookman Old Style" w:hAnsi="Bookman Old Style"/>
          <w:b/>
          <w:sz w:val="20"/>
          <w:szCs w:val="20"/>
          <w:lang w:val="es-ES_tradnl"/>
        </w:rPr>
        <w:t>0315703 No. de 2015</w:t>
      </w:r>
      <w:r w:rsidR="00C01358" w:rsidRPr="00FB14BB">
        <w:rPr>
          <w:rFonts w:ascii="Bookman Old Style" w:hAnsi="Bookman Old Style" w:cs="Arial"/>
          <w:b/>
          <w:sz w:val="20"/>
          <w:szCs w:val="20"/>
        </w:rPr>
        <w:t xml:space="preserve">, </w:t>
      </w:r>
      <w:r w:rsidR="00C01358" w:rsidRPr="00FB14BB">
        <w:rPr>
          <w:rFonts w:ascii="Bookman Old Style" w:hAnsi="Bookman Old Style" w:cs="Arial"/>
          <w:sz w:val="20"/>
          <w:szCs w:val="20"/>
        </w:rPr>
        <w:t xml:space="preserve"> que tiene por objeto: </w:t>
      </w:r>
      <w:r w:rsidR="00150040" w:rsidRPr="00FB14BB">
        <w:rPr>
          <w:rFonts w:ascii="Bookman Old Style" w:hAnsi="Bookman Old Style"/>
          <w:sz w:val="20"/>
          <w:szCs w:val="20"/>
          <w:lang w:val="es-ES_tradnl"/>
        </w:rPr>
        <w:t>CONTRATA DOTACIÓN DE VESTUARIO DE BIOSEGURIDAD, VESTUARIO DE TRABAJO, UTILES DE ESCRITORIO Y PAPELERIA PARA LOS FUNCIONARIOS QUE TRABAJAN EN LOS DIFERENTES LABORATORIOS DE LA UNIVERSIDAD DE NARIÑO.</w:t>
      </w:r>
    </w:p>
    <w:p w14:paraId="5BD849F2" w14:textId="77777777" w:rsidR="00F86B95" w:rsidRPr="00FB14BB" w:rsidRDefault="00F86B95" w:rsidP="00830246">
      <w:pPr>
        <w:suppressAutoHyphens/>
        <w:jc w:val="both"/>
        <w:rPr>
          <w:rFonts w:ascii="Bookman Old Style" w:hAnsi="Bookman Old Style" w:cs="Arial"/>
          <w:sz w:val="20"/>
          <w:szCs w:val="20"/>
          <w:lang w:val="es-CO"/>
        </w:rPr>
      </w:pPr>
    </w:p>
    <w:p w14:paraId="1399BD0E" w14:textId="5F39F94B" w:rsidR="00BB327B" w:rsidRPr="00FB14BB" w:rsidRDefault="009825F9" w:rsidP="00830246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  <w:lang w:val="es-CO"/>
        </w:rPr>
        <w:t>La</w:t>
      </w:r>
      <w:r w:rsidR="00404544" w:rsidRPr="00FB14BB">
        <w:rPr>
          <w:rFonts w:ascii="Bookman Old Style" w:hAnsi="Bookman Old Style" w:cs="Arial"/>
          <w:bCs/>
          <w:sz w:val="20"/>
          <w:szCs w:val="20"/>
        </w:rPr>
        <w:t xml:space="preserve"> Junta de Compras y contratación  </w:t>
      </w:r>
      <w:r w:rsidR="00BB327B" w:rsidRPr="00FB14BB">
        <w:rPr>
          <w:rFonts w:ascii="Bookman Old Style" w:hAnsi="Bookman Old Style" w:cs="Arial"/>
          <w:bCs/>
          <w:sz w:val="20"/>
          <w:szCs w:val="20"/>
        </w:rPr>
        <w:t xml:space="preserve"> de la Universidad de Nariño determina que en aras de garantizar la transparencia y con el objeto de </w:t>
      </w:r>
      <w:r w:rsidR="00BB327B" w:rsidRPr="00FB14BB">
        <w:rPr>
          <w:rFonts w:ascii="Bookman Old Style" w:hAnsi="Bookman Old Style" w:cs="Arial"/>
          <w:sz w:val="20"/>
          <w:szCs w:val="20"/>
          <w:lang w:val="es-CO"/>
        </w:rPr>
        <w:t>poder realizar un proceso idóneo de contratación, es necesario r</w:t>
      </w:r>
      <w:r w:rsidRPr="00FB14BB">
        <w:rPr>
          <w:rFonts w:ascii="Bookman Old Style" w:hAnsi="Bookman Old Style" w:cs="Arial"/>
          <w:sz w:val="20"/>
          <w:szCs w:val="20"/>
          <w:lang w:val="es-CO"/>
        </w:rPr>
        <w:t xml:space="preserve">ealizar </w:t>
      </w:r>
      <w:r w:rsidR="008D745D" w:rsidRPr="00FB14BB">
        <w:rPr>
          <w:rFonts w:ascii="Bookman Old Style" w:hAnsi="Bookman Old Style" w:cs="Arial"/>
          <w:sz w:val="20"/>
          <w:szCs w:val="20"/>
          <w:lang w:val="es-CO"/>
        </w:rPr>
        <w:t>las siguientes precisiones</w:t>
      </w:r>
      <w:r w:rsidRPr="00FB14BB">
        <w:rPr>
          <w:rFonts w:ascii="Bookman Old Style" w:hAnsi="Bookman Old Style" w:cs="Arial"/>
          <w:sz w:val="20"/>
          <w:szCs w:val="20"/>
          <w:lang w:val="es-CO"/>
        </w:rPr>
        <w:t>:</w:t>
      </w:r>
      <w:r w:rsidR="00BB327B" w:rsidRPr="00FB14BB">
        <w:rPr>
          <w:rFonts w:ascii="Bookman Old Style" w:hAnsi="Bookman Old Style" w:cs="Arial"/>
          <w:sz w:val="20"/>
          <w:szCs w:val="20"/>
          <w:lang w:val="es-CO"/>
        </w:rPr>
        <w:t xml:space="preserve">  </w:t>
      </w:r>
    </w:p>
    <w:p w14:paraId="4AD85EAF" w14:textId="1DCED56F" w:rsidR="00A528B9" w:rsidRPr="00FB14BB" w:rsidRDefault="00A528B9" w:rsidP="0015004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08D1FDD8" w14:textId="45104610" w:rsidR="00521AAE" w:rsidRPr="00FB14BB" w:rsidRDefault="00521AAE" w:rsidP="00FB14BB">
      <w:pPr>
        <w:pStyle w:val="Prrafodelista"/>
        <w:numPr>
          <w:ilvl w:val="0"/>
          <w:numId w:val="24"/>
        </w:numPr>
        <w:suppressAutoHyphens/>
        <w:jc w:val="both"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>Con el objeto de  permitir que los proponentes puedan participar en el presente proceso, de manera eficaz.</w:t>
      </w:r>
      <w:r w:rsidR="001C67E4" w:rsidRPr="00FB14BB">
        <w:rPr>
          <w:rFonts w:ascii="Bookman Old Style" w:hAnsi="Bookman Old Style" w:cs="Arial"/>
          <w:sz w:val="20"/>
          <w:szCs w:val="20"/>
        </w:rPr>
        <w:t xml:space="preserve"> Se permite que los proponentes remitan vía electrónica la póliza de seriedad de la oferta debidamente firmada</w:t>
      </w:r>
      <w:r w:rsidR="00863476" w:rsidRPr="00863476">
        <w:rPr>
          <w:rFonts w:ascii="Bookman Old Style" w:hAnsi="Bookman Old Style" w:cs="Arial"/>
          <w:sz w:val="20"/>
          <w:szCs w:val="20"/>
        </w:rPr>
        <w:t xml:space="preserve"> </w:t>
      </w:r>
      <w:r w:rsidR="00863476">
        <w:rPr>
          <w:rFonts w:ascii="Bookman Old Style" w:hAnsi="Bookman Old Style" w:cs="Arial"/>
          <w:sz w:val="20"/>
          <w:szCs w:val="20"/>
        </w:rPr>
        <w:t xml:space="preserve">al correo </w:t>
      </w:r>
      <w:r w:rsidR="00863476" w:rsidRPr="00054234">
        <w:rPr>
          <w:rFonts w:ascii="Bookman Old Style" w:hAnsi="Bookman Old Style" w:cs="Arial"/>
          <w:b/>
          <w:sz w:val="20"/>
          <w:szCs w:val="20"/>
        </w:rPr>
        <w:t>contratacion@udenar.edu.co</w:t>
      </w:r>
      <w:r w:rsidR="001C67E4" w:rsidRPr="00FB14BB">
        <w:rPr>
          <w:rFonts w:ascii="Bookman Old Style" w:hAnsi="Bookman Old Style" w:cs="Arial"/>
          <w:sz w:val="20"/>
          <w:szCs w:val="20"/>
        </w:rPr>
        <w:t xml:space="preserve"> hasta antes del cierre de la convocatoria y  remitan la misma en medio físico la cual debe llegar a la Universidad de Nariño Oficina de Compras y Contratación, a </w:t>
      </w:r>
      <w:r w:rsidR="008D745D" w:rsidRPr="00FB14BB">
        <w:rPr>
          <w:rFonts w:ascii="Bookman Old Style" w:hAnsi="Bookman Old Style" w:cs="Arial"/>
          <w:sz w:val="20"/>
          <w:szCs w:val="20"/>
        </w:rPr>
        <w:t>más</w:t>
      </w:r>
      <w:r w:rsidR="001C67E4" w:rsidRPr="00FB14BB">
        <w:rPr>
          <w:rFonts w:ascii="Bookman Old Style" w:hAnsi="Bookman Old Style" w:cs="Arial"/>
          <w:sz w:val="20"/>
          <w:szCs w:val="20"/>
        </w:rPr>
        <w:t xml:space="preserve"> tardar el día 2 de septiembre de 2015.</w:t>
      </w:r>
    </w:p>
    <w:p w14:paraId="7B03FCAA" w14:textId="77777777" w:rsidR="00521AAE" w:rsidRPr="00FB14BB" w:rsidRDefault="00521AAE" w:rsidP="0015004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17996F77" w14:textId="77777777" w:rsidR="00470ABD" w:rsidRPr="00FB14BB" w:rsidRDefault="00470ABD" w:rsidP="00150040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613349FC" w14:textId="77777777" w:rsidR="00150040" w:rsidRPr="00FB14BB" w:rsidRDefault="00150040" w:rsidP="00FB14BB">
      <w:pPr>
        <w:pStyle w:val="Prrafodelista"/>
        <w:numPr>
          <w:ilvl w:val="0"/>
          <w:numId w:val="24"/>
        </w:num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sz w:val="20"/>
          <w:szCs w:val="20"/>
          <w:lang w:val="es-ES_tradnl"/>
        </w:rPr>
        <w:t xml:space="preserve">1.14 LEGALIZACIÓN: El oferente a quien se adjudique el contrato, dentro de los plazos establecidos en el cronograma de la convocatoria pública y deberá cumplir con los siguientes requisitos: </w:t>
      </w:r>
    </w:p>
    <w:p w14:paraId="288538A4" w14:textId="77777777" w:rsidR="00150040" w:rsidRPr="00FB14BB" w:rsidRDefault="00150040" w:rsidP="00150040">
      <w:pPr>
        <w:rPr>
          <w:rFonts w:ascii="Bookman Old Style" w:hAnsi="Bookman Old Style"/>
          <w:sz w:val="20"/>
          <w:szCs w:val="20"/>
          <w:lang w:val="es-ES_tradnl"/>
        </w:rPr>
      </w:pPr>
    </w:p>
    <w:p w14:paraId="19DAC2F2" w14:textId="77777777" w:rsidR="00150040" w:rsidRPr="00FB14BB" w:rsidRDefault="00150040" w:rsidP="00150040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sz w:val="20"/>
          <w:szCs w:val="20"/>
          <w:lang w:val="es-ES_tradnl"/>
        </w:rPr>
        <w:t xml:space="preserve">1. Firma del Contrato. </w:t>
      </w:r>
    </w:p>
    <w:p w14:paraId="511AE67E" w14:textId="77777777" w:rsidR="00150040" w:rsidRPr="00FB14BB" w:rsidRDefault="00150040" w:rsidP="00150040">
      <w:pPr>
        <w:rPr>
          <w:rFonts w:ascii="Bookman Old Style" w:hAnsi="Bookman Old Style"/>
          <w:sz w:val="20"/>
          <w:szCs w:val="20"/>
          <w:lang w:val="es-ES_tradnl"/>
        </w:rPr>
      </w:pPr>
    </w:p>
    <w:p w14:paraId="307C157C" w14:textId="78758FCF" w:rsidR="00150040" w:rsidRPr="00FB14BB" w:rsidRDefault="00150040" w:rsidP="00150040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sz w:val="20"/>
          <w:szCs w:val="20"/>
          <w:lang w:val="es-ES_tradnl"/>
        </w:rPr>
        <w:t>2. Constitución y aprobación de las garantías.</w:t>
      </w:r>
    </w:p>
    <w:p w14:paraId="3FB4D99D" w14:textId="77777777" w:rsidR="00AB3A3F" w:rsidRPr="00FB14BB" w:rsidRDefault="00AB3A3F" w:rsidP="00150040">
      <w:pPr>
        <w:rPr>
          <w:rFonts w:ascii="Bookman Old Style" w:hAnsi="Bookman Old Style"/>
          <w:sz w:val="20"/>
          <w:szCs w:val="20"/>
          <w:lang w:val="es-ES_tradnl"/>
        </w:rPr>
      </w:pPr>
    </w:p>
    <w:p w14:paraId="180D446A" w14:textId="30E6093B" w:rsidR="00AB3A3F" w:rsidRPr="00FB14BB" w:rsidRDefault="00AB3A3F" w:rsidP="00150040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Se hace claridad en cuanto a las garantías del contrato a suscribir  en virtud de la presente convocatoria </w:t>
      </w:r>
    </w:p>
    <w:p w14:paraId="45ADA028" w14:textId="77777777" w:rsidR="00AB3A3F" w:rsidRPr="00FB14BB" w:rsidRDefault="00AB3A3F" w:rsidP="00150040">
      <w:pPr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686"/>
        <w:gridCol w:w="2750"/>
        <w:gridCol w:w="2740"/>
      </w:tblGrid>
      <w:tr w:rsidR="00110E28" w:rsidRPr="00FB14BB" w14:paraId="181E6872" w14:textId="77777777" w:rsidTr="008D745D">
        <w:tc>
          <w:tcPr>
            <w:tcW w:w="652" w:type="dxa"/>
          </w:tcPr>
          <w:p w14:paraId="48E8B440" w14:textId="77777777" w:rsidR="00110E28" w:rsidRPr="00FB14BB" w:rsidRDefault="00110E28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Ítem </w:t>
            </w:r>
          </w:p>
        </w:tc>
        <w:tc>
          <w:tcPr>
            <w:tcW w:w="2755" w:type="dxa"/>
          </w:tcPr>
          <w:p w14:paraId="2257E520" w14:textId="77777777" w:rsidR="00110E28" w:rsidRPr="00FB14BB" w:rsidRDefault="00110E28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Garantías </w:t>
            </w:r>
          </w:p>
        </w:tc>
        <w:tc>
          <w:tcPr>
            <w:tcW w:w="2827" w:type="dxa"/>
          </w:tcPr>
          <w:p w14:paraId="20FDC95B" w14:textId="77777777" w:rsidR="00110E28" w:rsidRPr="00FB14BB" w:rsidRDefault="00110E28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Cobertura </w:t>
            </w:r>
          </w:p>
        </w:tc>
        <w:tc>
          <w:tcPr>
            <w:tcW w:w="2820" w:type="dxa"/>
          </w:tcPr>
          <w:p w14:paraId="43225B89" w14:textId="77777777" w:rsidR="00110E28" w:rsidRPr="00FB14BB" w:rsidRDefault="00110E28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Plazo </w:t>
            </w:r>
          </w:p>
        </w:tc>
      </w:tr>
      <w:tr w:rsidR="00110E28" w:rsidRPr="00FB14BB" w14:paraId="55C6A93A" w14:textId="77777777" w:rsidTr="008D745D">
        <w:trPr>
          <w:trHeight w:val="90"/>
        </w:trPr>
        <w:tc>
          <w:tcPr>
            <w:tcW w:w="652" w:type="dxa"/>
            <w:vAlign w:val="center"/>
          </w:tcPr>
          <w:p w14:paraId="2B80F6A5" w14:textId="68DB1F12" w:rsidR="00110E28" w:rsidRPr="00FB14BB" w:rsidRDefault="008D745D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14:paraId="6FF9A39B" w14:textId="28AE74D8" w:rsidR="00494132" w:rsidRPr="00494132" w:rsidRDefault="00494132" w:rsidP="00494132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494132">
              <w:rPr>
                <w:rFonts w:ascii="Trebuchet MS" w:hAnsi="Trebuchet MS"/>
                <w:color w:val="6F6F6F"/>
                <w:sz w:val="18"/>
                <w:szCs w:val="18"/>
                <w:shd w:val="clear" w:color="auto" w:fill="F9F9F9"/>
                <w:lang w:val="es-ES_tradnl"/>
              </w:rPr>
              <w:t> </w:t>
            </w:r>
            <w:r>
              <w:rPr>
                <w:rFonts w:ascii="Trebuchet MS" w:hAnsi="Trebuchet MS"/>
                <w:color w:val="6F6F6F"/>
                <w:sz w:val="18"/>
                <w:szCs w:val="18"/>
                <w:shd w:val="clear" w:color="auto" w:fill="F9F9F9"/>
                <w:lang w:val="es-ES_tradnl"/>
              </w:rPr>
              <w:t>A</w:t>
            </w:r>
            <w:r w:rsidRPr="00494132">
              <w:rPr>
                <w:rFonts w:ascii="Trebuchet MS" w:hAnsi="Trebuchet MS"/>
                <w:color w:val="6F6F6F"/>
                <w:sz w:val="18"/>
                <w:szCs w:val="18"/>
                <w:shd w:val="clear" w:color="auto" w:fill="F9F9F9"/>
                <w:lang w:val="es-ES_tradnl"/>
              </w:rPr>
              <w:t>mparo de cumplimiento del contrato</w:t>
            </w:r>
          </w:p>
          <w:p w14:paraId="0D82ED96" w14:textId="026CCF66" w:rsidR="00110E28" w:rsidRPr="00FB14BB" w:rsidRDefault="00110E28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72E15E91" w14:textId="783402B9" w:rsidR="00110E28" w:rsidRPr="00FB14BB" w:rsidRDefault="00494132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110E28" w:rsidRPr="00FB14BB">
              <w:rPr>
                <w:rFonts w:ascii="Bookman Old Style" w:hAnsi="Bookman Old Style"/>
                <w:sz w:val="20"/>
                <w:szCs w:val="20"/>
              </w:rPr>
              <w:t>0% del valor del contrato</w:t>
            </w:r>
          </w:p>
        </w:tc>
        <w:tc>
          <w:tcPr>
            <w:tcW w:w="2820" w:type="dxa"/>
            <w:vAlign w:val="center"/>
          </w:tcPr>
          <w:p w14:paraId="4AF5E107" w14:textId="482BFAC9" w:rsidR="00110E28" w:rsidRPr="00FB14BB" w:rsidRDefault="00110E28" w:rsidP="00777AFC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/>
                <w:sz w:val="20"/>
                <w:szCs w:val="20"/>
              </w:rPr>
              <w:t>Igual al térmi</w:t>
            </w:r>
            <w:r w:rsidR="00494132">
              <w:rPr>
                <w:rFonts w:ascii="Bookman Old Style" w:hAnsi="Bookman Old Style"/>
                <w:sz w:val="20"/>
                <w:szCs w:val="20"/>
              </w:rPr>
              <w:t>no de ejecución del contrato y 4</w:t>
            </w:r>
            <w:r w:rsidRPr="00FB14BB">
              <w:rPr>
                <w:rFonts w:ascii="Bookman Old Style" w:hAnsi="Bookman Old Style"/>
                <w:sz w:val="20"/>
                <w:szCs w:val="20"/>
              </w:rPr>
              <w:t xml:space="preserve"> meses más</w:t>
            </w:r>
          </w:p>
        </w:tc>
      </w:tr>
    </w:tbl>
    <w:p w14:paraId="05CEF30E" w14:textId="77777777" w:rsidR="006552B4" w:rsidRPr="00FB14BB" w:rsidRDefault="006552B4" w:rsidP="00F40A52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6F4F0207" w14:textId="77777777" w:rsidR="00F40A52" w:rsidRPr="00FB14BB" w:rsidRDefault="00124459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>RESUELVE:</w:t>
      </w:r>
    </w:p>
    <w:p w14:paraId="450DAB3F" w14:textId="77777777" w:rsidR="003F00BF" w:rsidRPr="00FB14BB" w:rsidRDefault="003F00BF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14:paraId="4B282E05" w14:textId="77777777" w:rsidR="00151613" w:rsidRPr="00FB14BB" w:rsidRDefault="00151613" w:rsidP="00F40A52">
      <w:pPr>
        <w:suppressAutoHyphens/>
        <w:jc w:val="center"/>
        <w:rPr>
          <w:rFonts w:ascii="Bookman Old Style" w:hAnsi="Bookman Old Style" w:cs="Arial"/>
          <w:sz w:val="20"/>
          <w:szCs w:val="20"/>
        </w:rPr>
      </w:pPr>
    </w:p>
    <w:p w14:paraId="507ACAB9" w14:textId="5F4071E7" w:rsidR="007549D3" w:rsidRPr="00FB14BB" w:rsidRDefault="007549D3" w:rsidP="007549D3">
      <w:pPr>
        <w:suppressAutoHyphens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 xml:space="preserve">En virtud de lo expuesto la Junta de Compras y Contratación determina que se debe modificar los términos en cuanto a los siguientes </w:t>
      </w:r>
      <w:r w:rsidR="008D745D" w:rsidRPr="00FB14BB">
        <w:rPr>
          <w:rFonts w:ascii="Bookman Old Style" w:hAnsi="Bookman Old Style" w:cs="Arial"/>
          <w:sz w:val="20"/>
          <w:szCs w:val="20"/>
        </w:rPr>
        <w:t>numerales:</w:t>
      </w:r>
    </w:p>
    <w:p w14:paraId="0B1D4B10" w14:textId="77777777" w:rsidR="007549D3" w:rsidRPr="00FB14BB" w:rsidRDefault="007549D3" w:rsidP="007549D3">
      <w:pPr>
        <w:suppressAutoHyphens/>
        <w:rPr>
          <w:rFonts w:ascii="Bookman Old Style" w:hAnsi="Bookman Old Style" w:cs="Arial"/>
          <w:sz w:val="20"/>
          <w:szCs w:val="20"/>
        </w:rPr>
      </w:pPr>
    </w:p>
    <w:p w14:paraId="23097F41" w14:textId="77777777" w:rsidR="00110E28" w:rsidRPr="00FB14BB" w:rsidRDefault="00110E28" w:rsidP="00110E28">
      <w:pPr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3E63A88B" w14:textId="77777777" w:rsidR="00110E28" w:rsidRPr="00FB14BB" w:rsidRDefault="00110E28" w:rsidP="00110E28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b/>
          <w:sz w:val="20"/>
          <w:szCs w:val="20"/>
          <w:lang w:val="es-ES_tradnl"/>
        </w:rPr>
        <w:t xml:space="preserve">1.14 LEGALIZACIÓN: </w:t>
      </w:r>
      <w:r w:rsidRPr="00FB14BB">
        <w:rPr>
          <w:rFonts w:ascii="Bookman Old Style" w:hAnsi="Bookman Old Style"/>
          <w:sz w:val="20"/>
          <w:szCs w:val="20"/>
          <w:lang w:val="es-ES_tradnl"/>
        </w:rPr>
        <w:t xml:space="preserve">El oferente a quien se adjudique el contrato, dentro de los plazos establecidos en el cronograma de la convocatoria pública y deberá cumplir con los siguientes requisitos: </w:t>
      </w:r>
    </w:p>
    <w:p w14:paraId="1045C4B9" w14:textId="77777777" w:rsidR="00110E28" w:rsidRPr="00FB14BB" w:rsidRDefault="00110E28" w:rsidP="00110E28">
      <w:pPr>
        <w:rPr>
          <w:rFonts w:ascii="Bookman Old Style" w:hAnsi="Bookman Old Style"/>
          <w:sz w:val="20"/>
          <w:szCs w:val="20"/>
          <w:lang w:val="es-ES_tradnl"/>
        </w:rPr>
      </w:pPr>
    </w:p>
    <w:p w14:paraId="5F98BA15" w14:textId="77777777" w:rsidR="00110E28" w:rsidRPr="00FB14BB" w:rsidRDefault="00110E28" w:rsidP="00110E28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sz w:val="20"/>
          <w:szCs w:val="20"/>
          <w:lang w:val="es-ES_tradnl"/>
        </w:rPr>
        <w:t xml:space="preserve">1. Firma del Contrato. </w:t>
      </w:r>
    </w:p>
    <w:p w14:paraId="01279F69" w14:textId="77777777" w:rsidR="00110E28" w:rsidRPr="00FB14BB" w:rsidRDefault="00110E28" w:rsidP="00110E28">
      <w:pPr>
        <w:rPr>
          <w:rFonts w:ascii="Bookman Old Style" w:hAnsi="Bookman Old Style"/>
          <w:sz w:val="20"/>
          <w:szCs w:val="20"/>
          <w:lang w:val="es-ES_tradnl"/>
        </w:rPr>
      </w:pPr>
    </w:p>
    <w:p w14:paraId="681B2235" w14:textId="77777777" w:rsidR="00110E28" w:rsidRPr="00FB14BB" w:rsidRDefault="00110E28" w:rsidP="00110E28">
      <w:pPr>
        <w:rPr>
          <w:rFonts w:ascii="Bookman Old Style" w:hAnsi="Bookman Old Style"/>
          <w:sz w:val="20"/>
          <w:szCs w:val="20"/>
          <w:lang w:val="es-ES_tradnl"/>
        </w:rPr>
      </w:pPr>
      <w:r w:rsidRPr="00FB14BB">
        <w:rPr>
          <w:rFonts w:ascii="Bookman Old Style" w:hAnsi="Bookman Old Style"/>
          <w:sz w:val="20"/>
          <w:szCs w:val="20"/>
          <w:lang w:val="es-ES_tradnl"/>
        </w:rPr>
        <w:t>2. Constitución y aprobación de las garantías.</w:t>
      </w:r>
    </w:p>
    <w:p w14:paraId="7BA0199A" w14:textId="77777777" w:rsidR="00494132" w:rsidRDefault="00494132" w:rsidP="00110E28">
      <w:pPr>
        <w:rPr>
          <w:rFonts w:ascii="Bookman Old Style" w:hAnsi="Bookman Old Style"/>
          <w:sz w:val="20"/>
          <w:szCs w:val="20"/>
          <w:lang w:val="es-ES_tradnl"/>
        </w:rPr>
      </w:pPr>
    </w:p>
    <w:p w14:paraId="30F32420" w14:textId="45CBBD00" w:rsidR="00110E28" w:rsidRPr="00FB14BB" w:rsidRDefault="00494132" w:rsidP="00110E2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A continuación se describen los amparos  de las G</w:t>
      </w:r>
      <w:r w:rsidR="00110E28" w:rsidRPr="00FB14BB">
        <w:rPr>
          <w:rFonts w:ascii="Bookman Old Style" w:hAnsi="Bookman Old Style"/>
          <w:sz w:val="20"/>
          <w:szCs w:val="20"/>
          <w:lang w:val="es-ES_tradnl"/>
        </w:rPr>
        <w:t xml:space="preserve">arantías </w:t>
      </w:r>
      <w:r>
        <w:rPr>
          <w:rFonts w:ascii="Bookman Old Style" w:hAnsi="Bookman Old Style"/>
          <w:sz w:val="20"/>
          <w:szCs w:val="20"/>
          <w:lang w:val="es-ES_tradnl"/>
        </w:rPr>
        <w:t xml:space="preserve"> para el </w:t>
      </w:r>
      <w:r w:rsidR="00110E28" w:rsidRPr="00FB14BB">
        <w:rPr>
          <w:rFonts w:ascii="Bookman Old Style" w:hAnsi="Bookman Old Style"/>
          <w:sz w:val="20"/>
          <w:szCs w:val="20"/>
          <w:lang w:val="es-ES_tradnl"/>
        </w:rPr>
        <w:t xml:space="preserve"> contrato a suscribir  en virtud de la presente convocatoria </w:t>
      </w:r>
    </w:p>
    <w:p w14:paraId="7ABDA096" w14:textId="77777777" w:rsidR="00110E28" w:rsidRPr="00FB14BB" w:rsidRDefault="00110E28" w:rsidP="00110E28">
      <w:pPr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686"/>
        <w:gridCol w:w="2750"/>
        <w:gridCol w:w="2740"/>
      </w:tblGrid>
      <w:tr w:rsidR="00494132" w:rsidRPr="00FB14BB" w14:paraId="0DAF83EA" w14:textId="77777777" w:rsidTr="008D745D">
        <w:tc>
          <w:tcPr>
            <w:tcW w:w="652" w:type="dxa"/>
          </w:tcPr>
          <w:p w14:paraId="628129A3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Ítem </w:t>
            </w:r>
          </w:p>
        </w:tc>
        <w:tc>
          <w:tcPr>
            <w:tcW w:w="2755" w:type="dxa"/>
          </w:tcPr>
          <w:p w14:paraId="10274828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Garantías </w:t>
            </w:r>
          </w:p>
        </w:tc>
        <w:tc>
          <w:tcPr>
            <w:tcW w:w="2827" w:type="dxa"/>
          </w:tcPr>
          <w:p w14:paraId="4E07D643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Cobertura </w:t>
            </w:r>
          </w:p>
        </w:tc>
        <w:tc>
          <w:tcPr>
            <w:tcW w:w="2820" w:type="dxa"/>
          </w:tcPr>
          <w:p w14:paraId="1DB396DE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Plazo </w:t>
            </w:r>
          </w:p>
        </w:tc>
      </w:tr>
      <w:tr w:rsidR="00494132" w:rsidRPr="00FB14BB" w14:paraId="4B0BBD87" w14:textId="77777777" w:rsidTr="008D745D">
        <w:trPr>
          <w:trHeight w:val="90"/>
        </w:trPr>
        <w:tc>
          <w:tcPr>
            <w:tcW w:w="652" w:type="dxa"/>
            <w:vAlign w:val="center"/>
          </w:tcPr>
          <w:p w14:paraId="4212C7A0" w14:textId="7AA84033" w:rsidR="00494132" w:rsidRPr="00FB14BB" w:rsidRDefault="008D745D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14:paraId="65810D21" w14:textId="77777777" w:rsidR="00494132" w:rsidRPr="00494132" w:rsidRDefault="00494132" w:rsidP="00C4731F">
            <w:pPr>
              <w:rPr>
                <w:rFonts w:ascii="Times" w:hAnsi="Times"/>
                <w:sz w:val="20"/>
                <w:szCs w:val="20"/>
                <w:lang w:val="es-ES_tradnl"/>
              </w:rPr>
            </w:pPr>
            <w:r w:rsidRPr="00494132">
              <w:rPr>
                <w:rFonts w:ascii="Trebuchet MS" w:hAnsi="Trebuchet MS"/>
                <w:color w:val="6F6F6F"/>
                <w:sz w:val="18"/>
                <w:szCs w:val="18"/>
                <w:shd w:val="clear" w:color="auto" w:fill="F9F9F9"/>
                <w:lang w:val="es-ES_tradnl"/>
              </w:rPr>
              <w:t> </w:t>
            </w:r>
            <w:r>
              <w:rPr>
                <w:rFonts w:ascii="Trebuchet MS" w:hAnsi="Trebuchet MS"/>
                <w:color w:val="6F6F6F"/>
                <w:sz w:val="18"/>
                <w:szCs w:val="18"/>
                <w:shd w:val="clear" w:color="auto" w:fill="F9F9F9"/>
                <w:lang w:val="es-ES_tradnl"/>
              </w:rPr>
              <w:t>A</w:t>
            </w:r>
            <w:r w:rsidRPr="00494132">
              <w:rPr>
                <w:rFonts w:ascii="Trebuchet MS" w:hAnsi="Trebuchet MS"/>
                <w:color w:val="6F6F6F"/>
                <w:sz w:val="18"/>
                <w:szCs w:val="18"/>
                <w:shd w:val="clear" w:color="auto" w:fill="F9F9F9"/>
                <w:lang w:val="es-ES_tradnl"/>
              </w:rPr>
              <w:t>mparo de cumplimiento del contrato</w:t>
            </w:r>
          </w:p>
          <w:p w14:paraId="22E19A2F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43E4C5D4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FB14BB">
              <w:rPr>
                <w:rFonts w:ascii="Bookman Old Style" w:hAnsi="Bookman Old Style"/>
                <w:sz w:val="20"/>
                <w:szCs w:val="20"/>
              </w:rPr>
              <w:t>0% del valor del contrato</w:t>
            </w:r>
          </w:p>
        </w:tc>
        <w:tc>
          <w:tcPr>
            <w:tcW w:w="2820" w:type="dxa"/>
            <w:vAlign w:val="center"/>
          </w:tcPr>
          <w:p w14:paraId="3A863E2B" w14:textId="77777777" w:rsidR="00494132" w:rsidRPr="00FB14BB" w:rsidRDefault="00494132" w:rsidP="00C4731F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FB14BB">
              <w:rPr>
                <w:rFonts w:ascii="Bookman Old Style" w:hAnsi="Bookman Old Style"/>
                <w:sz w:val="20"/>
                <w:szCs w:val="20"/>
              </w:rPr>
              <w:t>Igual al térmi</w:t>
            </w:r>
            <w:r>
              <w:rPr>
                <w:rFonts w:ascii="Bookman Old Style" w:hAnsi="Bookman Old Style"/>
                <w:sz w:val="20"/>
                <w:szCs w:val="20"/>
              </w:rPr>
              <w:t>no de ejecución del contrato y 4</w:t>
            </w:r>
            <w:r w:rsidRPr="00FB14BB">
              <w:rPr>
                <w:rFonts w:ascii="Bookman Old Style" w:hAnsi="Bookman Old Style"/>
                <w:sz w:val="20"/>
                <w:szCs w:val="20"/>
              </w:rPr>
              <w:t xml:space="preserve"> meses más</w:t>
            </w:r>
          </w:p>
        </w:tc>
      </w:tr>
    </w:tbl>
    <w:p w14:paraId="4195587D" w14:textId="77777777" w:rsidR="00777AFC" w:rsidRPr="00FB14BB" w:rsidRDefault="00777AFC" w:rsidP="00777AFC">
      <w:pPr>
        <w:tabs>
          <w:tab w:val="left" w:pos="9072"/>
        </w:tabs>
        <w:spacing w:before="29"/>
        <w:ind w:left="993" w:right="2744" w:firstLine="2988"/>
        <w:jc w:val="center"/>
        <w:rPr>
          <w:rFonts w:ascii="Bookman Old Style" w:hAnsi="Bookman Old Style" w:cs="Calibri"/>
          <w:b/>
          <w:sz w:val="20"/>
          <w:szCs w:val="20"/>
        </w:rPr>
      </w:pPr>
    </w:p>
    <w:p w14:paraId="19708FA6" w14:textId="77777777" w:rsidR="00777AFC" w:rsidRPr="00FB14BB" w:rsidRDefault="00777AFC" w:rsidP="00777AFC">
      <w:pPr>
        <w:tabs>
          <w:tab w:val="left" w:pos="9072"/>
        </w:tabs>
        <w:spacing w:before="29"/>
        <w:ind w:left="993" w:right="2744" w:firstLine="2988"/>
        <w:jc w:val="center"/>
        <w:rPr>
          <w:rFonts w:ascii="Bookman Old Style" w:hAnsi="Bookman Old Style" w:cs="Calibri"/>
          <w:b/>
          <w:sz w:val="20"/>
          <w:szCs w:val="20"/>
        </w:rPr>
      </w:pPr>
    </w:p>
    <w:p w14:paraId="0E439DC9" w14:textId="39521DCE" w:rsidR="00777AFC" w:rsidRPr="00FB14BB" w:rsidRDefault="00777AFC" w:rsidP="00521AAE">
      <w:pPr>
        <w:pStyle w:val="Ttulo2"/>
        <w:keepLines w:val="0"/>
        <w:numPr>
          <w:ilvl w:val="1"/>
          <w:numId w:val="23"/>
        </w:numPr>
        <w:spacing w:before="0"/>
        <w:rPr>
          <w:rFonts w:ascii="Bookman Old Style" w:hAnsi="Bookman Old Style" w:cs="Calibri"/>
          <w:color w:val="auto"/>
          <w:sz w:val="20"/>
          <w:szCs w:val="20"/>
        </w:rPr>
      </w:pPr>
      <w:bookmarkStart w:id="0" w:name="_Toc424121079"/>
      <w:bookmarkStart w:id="1" w:name="_Toc424132167"/>
      <w:r w:rsidRPr="00FB14BB">
        <w:rPr>
          <w:rFonts w:ascii="Bookman Old Style" w:hAnsi="Bookman Old Style" w:cs="Calibri"/>
          <w:color w:val="auto"/>
          <w:sz w:val="20"/>
          <w:szCs w:val="20"/>
        </w:rPr>
        <w:t>GENERALIDADES:</w:t>
      </w:r>
      <w:bookmarkEnd w:id="0"/>
      <w:bookmarkEnd w:id="1"/>
    </w:p>
    <w:p w14:paraId="5308F0A0" w14:textId="77777777" w:rsidR="00777AFC" w:rsidRPr="00FB14BB" w:rsidRDefault="00777AFC" w:rsidP="00777AFC">
      <w:pPr>
        <w:spacing w:before="29"/>
        <w:ind w:left="3119" w:right="3415" w:firstLine="142"/>
        <w:jc w:val="center"/>
        <w:rPr>
          <w:rFonts w:ascii="Bookman Old Style" w:hAnsi="Bookman Old Style" w:cs="Arial"/>
          <w:sz w:val="20"/>
          <w:szCs w:val="20"/>
        </w:rPr>
      </w:pPr>
    </w:p>
    <w:p w14:paraId="19040457" w14:textId="277FD5D1" w:rsidR="00777AFC" w:rsidRPr="00FB14BB" w:rsidRDefault="00777AFC" w:rsidP="00777AFC">
      <w:pPr>
        <w:spacing w:before="29"/>
        <w:ind w:left="-284" w:right="-658"/>
        <w:jc w:val="both"/>
        <w:rPr>
          <w:rFonts w:ascii="Bookman Old Style" w:hAnsi="Bookman Old Style" w:cs="Calibri"/>
          <w:sz w:val="20"/>
          <w:szCs w:val="20"/>
        </w:rPr>
      </w:pPr>
      <w:r w:rsidRPr="00FB14BB">
        <w:rPr>
          <w:rFonts w:ascii="Bookman Old Style" w:hAnsi="Bookman Old Style" w:cs="Calibri"/>
          <w:sz w:val="20"/>
          <w:szCs w:val="20"/>
        </w:rPr>
        <w:t xml:space="preserve"> En la presente convocatoria podrán participar quienes cumplan con los siguientes requisitos: </w:t>
      </w:r>
    </w:p>
    <w:p w14:paraId="638AB97C" w14:textId="51A97C20" w:rsidR="00777AFC" w:rsidRPr="00FB14BB" w:rsidRDefault="00777AFC" w:rsidP="00777AFC">
      <w:pPr>
        <w:spacing w:before="29"/>
        <w:ind w:left="76" w:right="-658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</w:p>
    <w:p w14:paraId="75049587" w14:textId="6E3A87D1" w:rsidR="00777AFC" w:rsidRPr="00FB14BB" w:rsidRDefault="00FB14BB" w:rsidP="00777AFC">
      <w:pPr>
        <w:spacing w:before="29"/>
        <w:ind w:left="76" w:right="-658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 xml:space="preserve">3. </w:t>
      </w:r>
      <w:r w:rsidR="00777AFC"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 xml:space="preserve">Constituir la póliza de seriedad de la propuesta equivalente al 10% mínimo de la oferta, para esta convocatoria vigente durante tres (3) meses, contados a partir de la fecha de cierre de la misma. No aplica para oferentes internacionales, en este caso debe constituirse una garantía del país de domicilio del oferente. </w:t>
      </w:r>
    </w:p>
    <w:p w14:paraId="4BE94C0F" w14:textId="77777777" w:rsidR="00777AFC" w:rsidRPr="00FB14BB" w:rsidRDefault="00777AFC" w:rsidP="00777AFC">
      <w:pPr>
        <w:spacing w:before="29"/>
        <w:ind w:left="76"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</w:p>
    <w:p w14:paraId="5017CA91" w14:textId="77777777" w:rsidR="00777AFC" w:rsidRPr="00FB14BB" w:rsidRDefault="00777AFC" w:rsidP="00777AFC">
      <w:pPr>
        <w:tabs>
          <w:tab w:val="left" w:pos="0"/>
        </w:tabs>
        <w:ind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>La oferta deberá acompañarse del ORIGINAL de la póliza o garantía bancaria otorgada por una compañía de seguros o entidad financiera legalmente establecida en el país, en la cual se verificará lo siguiente:</w:t>
      </w:r>
    </w:p>
    <w:p w14:paraId="3BC304D4" w14:textId="77777777" w:rsidR="00777AFC" w:rsidRPr="00FB14BB" w:rsidRDefault="00777AFC" w:rsidP="00777AFC">
      <w:pPr>
        <w:tabs>
          <w:tab w:val="left" w:pos="0"/>
        </w:tabs>
        <w:ind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</w:p>
    <w:p w14:paraId="439CFEED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426" w:right="75" w:hanging="710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>Asegurado/Beneficiario: Universidad de Nariño – NIT No. 800.118.954-1</w:t>
      </w:r>
    </w:p>
    <w:p w14:paraId="78EC8FA1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426" w:right="75" w:hanging="710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>Cuantía: Diez por ciento (10%) del valor total de la oferta.</w:t>
      </w:r>
    </w:p>
    <w:p w14:paraId="264F02E9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426" w:right="75" w:hanging="710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>Vigencia: 3 meses contados a partir de la fecha de presentación de la oferta.</w:t>
      </w:r>
    </w:p>
    <w:p w14:paraId="402F5C04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0" w:right="75" w:hanging="284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 xml:space="preserve">Tomador/Afianzado: La póliza o garantía deberá tomarse con el nombre del OFERENTE o de la razón social que figura en el Certificado de Existencia y Representación Legal </w:t>
      </w: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lastRenderedPageBreak/>
        <w:t>Expedido por la Cámara de Comercio. Cuando la oferta la presente un Consorcio o Unión Temporal, la garantía de seriedad debe ser tomada a nombre del Consorcio o Unión Temporal (indicando sus integrantes). En caso de que figure a nombre de uno de sus integrantes como tomador/afianzado, deberá indicarse en el contenido de la garantía el nombre de todos los integrantes del Consorcio o Unión Temporal.</w:t>
      </w:r>
    </w:p>
    <w:p w14:paraId="73E9E835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0" w:right="75" w:hanging="284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 xml:space="preserve">Firma del Representante Legal: La póliza deberá firmarse por OFERENTE y/o su Representante Legal según sea el caso. </w:t>
      </w:r>
    </w:p>
    <w:p w14:paraId="6F7E2287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426" w:right="75" w:hanging="710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 xml:space="preserve">Objeto y No de la Convocatoria Pública </w:t>
      </w:r>
    </w:p>
    <w:p w14:paraId="54FF76D3" w14:textId="77777777" w:rsidR="00777AFC" w:rsidRPr="00FB14BB" w:rsidRDefault="00777AFC" w:rsidP="00777AFC">
      <w:pPr>
        <w:numPr>
          <w:ilvl w:val="0"/>
          <w:numId w:val="20"/>
        </w:numPr>
        <w:tabs>
          <w:tab w:val="left" w:pos="0"/>
        </w:tabs>
        <w:ind w:left="426" w:right="75" w:hanging="710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 xml:space="preserve">Recibo de pago: Donde se constate que el valor de la garantía fue efectivamente cancelado. </w:t>
      </w:r>
    </w:p>
    <w:p w14:paraId="677E5823" w14:textId="77777777" w:rsidR="00777AFC" w:rsidRPr="00FB14BB" w:rsidRDefault="00777AFC" w:rsidP="00777AFC">
      <w:pPr>
        <w:tabs>
          <w:tab w:val="left" w:pos="0"/>
        </w:tabs>
        <w:ind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</w:p>
    <w:p w14:paraId="22AEC92B" w14:textId="77777777" w:rsidR="001C67E4" w:rsidRPr="00FB14BB" w:rsidRDefault="00777AFC" w:rsidP="001C67E4">
      <w:pPr>
        <w:tabs>
          <w:tab w:val="left" w:pos="-284"/>
        </w:tabs>
        <w:ind w:left="-284"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>La UNIVERSIDAD podrá solicitar la prórroga de dicha garantía. Todos los gastos relacionados  con la suscripción y prórrogas de la garantía de seriedad, serán a cargo del OFERENTE.</w:t>
      </w:r>
    </w:p>
    <w:p w14:paraId="09489A0A" w14:textId="77777777" w:rsidR="001C67E4" w:rsidRPr="00FB14BB" w:rsidRDefault="001C67E4" w:rsidP="001C67E4">
      <w:pPr>
        <w:tabs>
          <w:tab w:val="left" w:pos="-284"/>
        </w:tabs>
        <w:ind w:left="-284"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</w:p>
    <w:p w14:paraId="6CD55D1D" w14:textId="789524BD" w:rsidR="00777AFC" w:rsidRPr="00FB14BB" w:rsidRDefault="001C67E4" w:rsidP="001C67E4">
      <w:pPr>
        <w:tabs>
          <w:tab w:val="left" w:pos="-284"/>
        </w:tabs>
        <w:ind w:left="-284" w:right="75"/>
        <w:jc w:val="both"/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</w:pPr>
      <w:r w:rsidRPr="00FB14BB">
        <w:rPr>
          <w:rFonts w:ascii="Bookman Old Style" w:hAnsi="Bookman Old Style" w:cs="Calibri"/>
          <w:sz w:val="20"/>
          <w:szCs w:val="20"/>
          <w:u w:color="000000"/>
          <w:lang w:val="es-MX" w:eastAsia="es-CO"/>
        </w:rPr>
        <w:t>S</w:t>
      </w:r>
      <w:proofErr w:type="spellStart"/>
      <w:r w:rsidRPr="00FB14BB">
        <w:rPr>
          <w:rFonts w:ascii="Bookman Old Style" w:hAnsi="Bookman Old Style" w:cs="Arial"/>
          <w:sz w:val="20"/>
          <w:szCs w:val="20"/>
        </w:rPr>
        <w:t>e</w:t>
      </w:r>
      <w:proofErr w:type="spellEnd"/>
      <w:r w:rsidRPr="00FB14BB">
        <w:rPr>
          <w:rFonts w:ascii="Bookman Old Style" w:hAnsi="Bookman Old Style" w:cs="Arial"/>
          <w:sz w:val="20"/>
          <w:szCs w:val="20"/>
        </w:rPr>
        <w:t xml:space="preserve"> permite que los proponentes remitan vía electrónica </w:t>
      </w:r>
      <w:r w:rsidR="00863476">
        <w:rPr>
          <w:rFonts w:ascii="Bookman Old Style" w:hAnsi="Bookman Old Style" w:cs="Arial"/>
          <w:sz w:val="20"/>
          <w:szCs w:val="20"/>
        </w:rPr>
        <w:t xml:space="preserve"> </w:t>
      </w:r>
      <w:r w:rsidRPr="00FB14BB">
        <w:rPr>
          <w:rFonts w:ascii="Bookman Old Style" w:hAnsi="Bookman Old Style" w:cs="Arial"/>
          <w:sz w:val="20"/>
          <w:szCs w:val="20"/>
        </w:rPr>
        <w:t xml:space="preserve">la póliza de seriedad de la oferta debidamente firmada </w:t>
      </w:r>
      <w:r w:rsidR="00863476">
        <w:rPr>
          <w:rFonts w:ascii="Bookman Old Style" w:hAnsi="Bookman Old Style" w:cs="Arial"/>
          <w:sz w:val="20"/>
          <w:szCs w:val="20"/>
        </w:rPr>
        <w:t xml:space="preserve">al correo </w:t>
      </w:r>
      <w:proofErr w:type="gramStart"/>
      <w:r w:rsidR="00863476" w:rsidRPr="00054234">
        <w:rPr>
          <w:rFonts w:ascii="Bookman Old Style" w:hAnsi="Bookman Old Style" w:cs="Arial"/>
          <w:b/>
          <w:sz w:val="20"/>
          <w:szCs w:val="20"/>
        </w:rPr>
        <w:t>contratacion@udenar.edu.co</w:t>
      </w:r>
      <w:r w:rsidR="00863476" w:rsidRPr="00054234">
        <w:rPr>
          <w:rFonts w:ascii="Bookman Old Style" w:hAnsi="Bookman Old Style" w:cs="Arial"/>
          <w:sz w:val="20"/>
          <w:szCs w:val="20"/>
        </w:rPr>
        <w:t xml:space="preserve"> </w:t>
      </w:r>
      <w:r w:rsidR="00863476">
        <w:rPr>
          <w:rFonts w:ascii="Bookman Old Style" w:hAnsi="Bookman Old Style" w:cs="Arial"/>
          <w:sz w:val="20"/>
          <w:szCs w:val="20"/>
        </w:rPr>
        <w:t>,</w:t>
      </w:r>
      <w:proofErr w:type="gramEnd"/>
      <w:r w:rsidR="00863476">
        <w:rPr>
          <w:rFonts w:ascii="Bookman Old Style" w:hAnsi="Bookman Old Style" w:cs="Arial"/>
          <w:sz w:val="20"/>
          <w:szCs w:val="20"/>
        </w:rPr>
        <w:t xml:space="preserve"> </w:t>
      </w:r>
      <w:r w:rsidRPr="00FB14BB">
        <w:rPr>
          <w:rFonts w:ascii="Bookman Old Style" w:hAnsi="Bookman Old Style" w:cs="Arial"/>
          <w:sz w:val="20"/>
          <w:szCs w:val="20"/>
        </w:rPr>
        <w:t xml:space="preserve">hasta antes del cierre de la convocatoria y  remitan la misma en medio físico la cual debe llegar a la Universidad de Nariño Oficina de Compras y Contratación, a </w:t>
      </w:r>
      <w:proofErr w:type="spellStart"/>
      <w:r w:rsidRPr="00FB14BB">
        <w:rPr>
          <w:rFonts w:ascii="Bookman Old Style" w:hAnsi="Bookman Old Style" w:cs="Arial"/>
          <w:sz w:val="20"/>
          <w:szCs w:val="20"/>
        </w:rPr>
        <w:t>mas</w:t>
      </w:r>
      <w:proofErr w:type="spellEnd"/>
      <w:r w:rsidRPr="00FB14BB">
        <w:rPr>
          <w:rFonts w:ascii="Bookman Old Style" w:hAnsi="Bookman Old Style" w:cs="Arial"/>
          <w:sz w:val="20"/>
          <w:szCs w:val="20"/>
        </w:rPr>
        <w:t xml:space="preserve"> tardar el día 2 de septiembre de 2015.</w:t>
      </w:r>
    </w:p>
    <w:p w14:paraId="5DB5786D" w14:textId="77777777" w:rsidR="00777AFC" w:rsidRPr="00FB14BB" w:rsidRDefault="00777AFC" w:rsidP="007549D3">
      <w:pPr>
        <w:suppressAutoHyphens/>
        <w:ind w:firstLine="708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14:paraId="3FA370F1" w14:textId="60AC534F" w:rsidR="007549D3" w:rsidRPr="00FB14BB" w:rsidRDefault="007549D3" w:rsidP="007549D3">
      <w:pPr>
        <w:pStyle w:val="Prrafodelista"/>
        <w:suppressAutoHyphens/>
        <w:jc w:val="both"/>
        <w:rPr>
          <w:rFonts w:ascii="Bookman Old Style" w:hAnsi="Bookman Old Style" w:cs="Arial"/>
          <w:sz w:val="20"/>
          <w:szCs w:val="20"/>
        </w:rPr>
      </w:pPr>
    </w:p>
    <w:p w14:paraId="1EB7FB3A" w14:textId="77777777" w:rsidR="00EC672E" w:rsidRPr="00FB14BB" w:rsidRDefault="006552B4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  <w:lang w:val="es-CO"/>
        </w:rPr>
        <w:t>LAS DEMÁS CONDICI</w:t>
      </w:r>
      <w:r w:rsidR="00462B13" w:rsidRPr="00FB14BB">
        <w:rPr>
          <w:rFonts w:ascii="Bookman Old Style" w:hAnsi="Bookman Old Style" w:cs="Arial"/>
          <w:sz w:val="20"/>
          <w:szCs w:val="20"/>
          <w:lang w:val="es-CO"/>
        </w:rPr>
        <w:t xml:space="preserve">ONES Y TÉRMINOS DE </w:t>
      </w:r>
      <w:r w:rsidR="00EC672E" w:rsidRPr="00FB14BB">
        <w:rPr>
          <w:rFonts w:ascii="Bookman Old Style" w:hAnsi="Bookman Old Style" w:cs="Arial"/>
          <w:sz w:val="20"/>
          <w:szCs w:val="20"/>
          <w:lang w:val="es-CO"/>
        </w:rPr>
        <w:t xml:space="preserve">LA PRESENTE CONVOCATORIA </w:t>
      </w:r>
      <w:r w:rsidR="00462B13" w:rsidRPr="00FB14BB">
        <w:rPr>
          <w:rFonts w:ascii="Bookman Old Style" w:hAnsi="Bookman Old Style" w:cs="Arial"/>
          <w:sz w:val="20"/>
          <w:szCs w:val="20"/>
          <w:lang w:val="es-CO"/>
        </w:rPr>
        <w:t xml:space="preserve"> </w:t>
      </w:r>
      <w:r w:rsidRPr="00FB14BB">
        <w:rPr>
          <w:rFonts w:ascii="Bookman Old Style" w:hAnsi="Bookman Old Style" w:cs="Arial"/>
          <w:sz w:val="20"/>
          <w:szCs w:val="20"/>
          <w:lang w:val="es-CO"/>
        </w:rPr>
        <w:t>PÚBLICA SE CONSERVAN COMO SE PUBLICARON</w:t>
      </w:r>
    </w:p>
    <w:p w14:paraId="132DB27F" w14:textId="77777777" w:rsidR="00EC672E" w:rsidRPr="00FB14BB" w:rsidRDefault="00EC672E" w:rsidP="00EC672E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</w:p>
    <w:p w14:paraId="5CC6AB2D" w14:textId="77777777" w:rsidR="00FB14BB" w:rsidRDefault="004041DB" w:rsidP="00FB14BB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>En constancia se suscribe.</w:t>
      </w:r>
    </w:p>
    <w:p w14:paraId="76D491E0" w14:textId="77777777" w:rsidR="00FB14BB" w:rsidRDefault="00FB14BB" w:rsidP="00FB14BB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</w:p>
    <w:p w14:paraId="53ED482B" w14:textId="77777777" w:rsidR="00FB14BB" w:rsidRDefault="00FB14BB" w:rsidP="00FB14BB">
      <w:pPr>
        <w:spacing w:before="16" w:line="260" w:lineRule="exact"/>
        <w:ind w:left="-284"/>
        <w:jc w:val="both"/>
        <w:rPr>
          <w:rFonts w:ascii="Bookman Old Style" w:hAnsi="Bookman Old Style" w:cs="Calibri"/>
          <w:sz w:val="20"/>
          <w:szCs w:val="20"/>
        </w:rPr>
      </w:pPr>
    </w:p>
    <w:p w14:paraId="7E74087F" w14:textId="77777777" w:rsidR="00FB14BB" w:rsidRDefault="00FB14BB" w:rsidP="004041DB">
      <w:pPr>
        <w:rPr>
          <w:rFonts w:ascii="Bookman Old Style" w:hAnsi="Bookman Old Style" w:cs="Arial"/>
          <w:sz w:val="20"/>
          <w:szCs w:val="20"/>
        </w:rPr>
      </w:pPr>
    </w:p>
    <w:p w14:paraId="0FB1F765" w14:textId="77777777" w:rsidR="004D7525" w:rsidRDefault="004D7525" w:rsidP="004041DB">
      <w:pPr>
        <w:rPr>
          <w:rFonts w:ascii="Bookman Old Style" w:hAnsi="Bookman Old Style" w:cs="Arial"/>
          <w:sz w:val="20"/>
          <w:szCs w:val="20"/>
        </w:rPr>
      </w:pPr>
    </w:p>
    <w:p w14:paraId="021373DE" w14:textId="77777777" w:rsidR="004E6ED0" w:rsidRPr="00FB14BB" w:rsidRDefault="004E6ED0" w:rsidP="004041DB">
      <w:pPr>
        <w:rPr>
          <w:rFonts w:ascii="Bookman Old Style" w:hAnsi="Bookman Old Style" w:cs="Arial"/>
          <w:sz w:val="20"/>
          <w:szCs w:val="20"/>
        </w:rPr>
      </w:pPr>
    </w:p>
    <w:p w14:paraId="723989E8" w14:textId="77777777" w:rsidR="007549D3" w:rsidRPr="00FB14BB" w:rsidRDefault="007549D3" w:rsidP="004041DB">
      <w:pPr>
        <w:rPr>
          <w:rFonts w:ascii="Bookman Old Style" w:hAnsi="Bookman Old Style" w:cs="Arial"/>
          <w:sz w:val="20"/>
          <w:szCs w:val="20"/>
        </w:rPr>
      </w:pPr>
    </w:p>
    <w:p w14:paraId="7FBD69F9" w14:textId="77777777" w:rsidR="00EC672E" w:rsidRPr="00FB14BB" w:rsidRDefault="004041DB" w:rsidP="00EC672E">
      <w:pPr>
        <w:ind w:left="-284"/>
        <w:rPr>
          <w:rFonts w:ascii="Bookman Old Style" w:hAnsi="Bookman Old Style" w:cs="Arial"/>
          <w:b/>
          <w:sz w:val="20"/>
          <w:szCs w:val="20"/>
        </w:rPr>
      </w:pPr>
      <w:r w:rsidRPr="00FB14BB">
        <w:rPr>
          <w:rFonts w:ascii="Bookman Old Style" w:hAnsi="Bookman Old Style" w:cs="Arial"/>
          <w:b/>
          <w:sz w:val="20"/>
          <w:szCs w:val="20"/>
        </w:rPr>
        <w:t>CARLOS OMAR OJEDA ENRIQUEZ</w:t>
      </w:r>
    </w:p>
    <w:p w14:paraId="6A594ADE" w14:textId="38B64605" w:rsidR="004041DB" w:rsidRDefault="00EC672E" w:rsidP="00B81AA0">
      <w:pPr>
        <w:ind w:left="-284"/>
        <w:rPr>
          <w:rFonts w:ascii="Bookman Old Style" w:hAnsi="Bookman Old Style" w:cs="Arial"/>
          <w:sz w:val="20"/>
          <w:szCs w:val="20"/>
        </w:rPr>
      </w:pPr>
      <w:r w:rsidRPr="00FB14BB">
        <w:rPr>
          <w:rFonts w:ascii="Bookman Old Style" w:hAnsi="Bookman Old Style" w:cs="Arial"/>
          <w:sz w:val="20"/>
          <w:szCs w:val="20"/>
        </w:rPr>
        <w:t xml:space="preserve">Presidente Junta de Compras </w:t>
      </w:r>
      <w:r w:rsidR="003E4E82" w:rsidRPr="00FB14BB">
        <w:rPr>
          <w:rFonts w:ascii="Bookman Old Style" w:hAnsi="Bookman Old Style" w:cs="Arial"/>
          <w:sz w:val="20"/>
          <w:szCs w:val="20"/>
        </w:rPr>
        <w:t xml:space="preserve"> y Contratos</w:t>
      </w:r>
    </w:p>
    <w:p w14:paraId="43A8F8AB" w14:textId="77777777" w:rsidR="00B81AA0" w:rsidRDefault="00B81AA0" w:rsidP="00B81AA0">
      <w:pPr>
        <w:ind w:left="-284"/>
        <w:rPr>
          <w:rFonts w:ascii="Bookman Old Style" w:hAnsi="Bookman Old Style" w:cs="Arial"/>
          <w:sz w:val="20"/>
          <w:szCs w:val="20"/>
        </w:rPr>
      </w:pPr>
    </w:p>
    <w:p w14:paraId="4458A391" w14:textId="1787DDA6" w:rsidR="00B81AA0" w:rsidRPr="00B81AA0" w:rsidRDefault="00B81AA0" w:rsidP="00B81AA0">
      <w:pPr>
        <w:ind w:left="-284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Original firmada</w:t>
      </w:r>
      <w:bookmarkStart w:id="2" w:name="_GoBack"/>
      <w:bookmarkEnd w:id="2"/>
    </w:p>
    <w:p w14:paraId="7E9A1A7C" w14:textId="77777777" w:rsidR="004041DB" w:rsidRPr="005755A0" w:rsidRDefault="004041DB" w:rsidP="004041DB">
      <w:pPr>
        <w:rPr>
          <w:rFonts w:ascii="Arial" w:hAnsi="Arial" w:cs="Arial"/>
          <w:sz w:val="20"/>
          <w:szCs w:val="20"/>
        </w:rPr>
      </w:pPr>
    </w:p>
    <w:sectPr w:rsidR="004041DB" w:rsidRPr="005755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BC4B" w14:textId="77777777" w:rsidR="00EB12A5" w:rsidRDefault="00EB12A5" w:rsidP="00FF1461">
      <w:r>
        <w:separator/>
      </w:r>
    </w:p>
  </w:endnote>
  <w:endnote w:type="continuationSeparator" w:id="0">
    <w:p w14:paraId="06E50D6D" w14:textId="77777777" w:rsidR="00EB12A5" w:rsidRDefault="00EB12A5" w:rsidP="00F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7C83" w14:textId="77777777" w:rsidR="00EB12A5" w:rsidRDefault="00EB12A5" w:rsidP="00FF1461">
      <w:r>
        <w:separator/>
      </w:r>
    </w:p>
  </w:footnote>
  <w:footnote w:type="continuationSeparator" w:id="0">
    <w:p w14:paraId="7E5736B2" w14:textId="77777777" w:rsidR="00EB12A5" w:rsidRDefault="00EB12A5" w:rsidP="00FF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07C8" w14:textId="77777777" w:rsidR="00FB14BB" w:rsidRDefault="00FB14BB" w:rsidP="00FF1461">
    <w:pPr>
      <w:pStyle w:val="Ttulo3"/>
      <w:rPr>
        <w:rFonts w:ascii="Arial Narrow" w:hAnsi="Arial Narrow" w:cs="Arial"/>
        <w:bCs/>
        <w:sz w:val="20"/>
      </w:rPr>
    </w:pPr>
    <w:r>
      <w:rPr>
        <w:noProof/>
        <w:lang w:val="es-CO" w:eastAsia="es-CO"/>
      </w:rPr>
      <w:drawing>
        <wp:inline distT="0" distB="0" distL="0" distR="0" wp14:anchorId="4F7FAFD6" wp14:editId="70897BA8">
          <wp:extent cx="417195" cy="417195"/>
          <wp:effectExtent l="0" t="0" r="1905" b="1905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602">
      <w:rPr>
        <w:rFonts w:ascii="Arial Narrow" w:hAnsi="Arial Narrow" w:cs="Arial"/>
        <w:bCs/>
        <w:sz w:val="20"/>
      </w:rPr>
      <w:t xml:space="preserve">Universidad de </w:t>
    </w:r>
    <w:r w:rsidRPr="009B0602">
      <w:rPr>
        <w:rFonts w:ascii="Arial Narrow" w:hAnsi="Arial Narrow" w:cs="Arial"/>
        <w:b/>
        <w:bCs/>
        <w:sz w:val="20"/>
      </w:rPr>
      <w:t>N</w:t>
    </w:r>
    <w:r>
      <w:rPr>
        <w:rFonts w:ascii="Arial Narrow" w:hAnsi="Arial Narrow" w:cs="Arial"/>
        <w:bCs/>
        <w:sz w:val="20"/>
      </w:rPr>
      <w:t>ariño</w:t>
    </w:r>
  </w:p>
  <w:p w14:paraId="1C786943" w14:textId="77777777" w:rsidR="00FB14BB" w:rsidRPr="00FF1461" w:rsidRDefault="00FB14BB" w:rsidP="00FF1461">
    <w:pPr>
      <w:rPr>
        <w:lang w:val="es-ES_tradnl"/>
      </w:rPr>
    </w:pPr>
    <w:r>
      <w:rPr>
        <w:lang w:val="es-ES_tradnl"/>
      </w:rPr>
      <w:t xml:space="preserve">           </w:t>
    </w:r>
    <w:r>
      <w:rPr>
        <w:rFonts w:ascii="Arial Narrow" w:hAnsi="Arial Narrow" w:cs="Arial"/>
        <w:bCs/>
        <w:spacing w:val="-2"/>
        <w:sz w:val="20"/>
        <w:szCs w:val="20"/>
        <w:lang w:val="es-ES_tradnl"/>
      </w:rPr>
      <w:t>Junta de Compras  y contratación</w:t>
    </w:r>
  </w:p>
  <w:p w14:paraId="526AEE81" w14:textId="77777777" w:rsidR="00FB14BB" w:rsidRDefault="00FB14BB">
    <w:pPr>
      <w:pStyle w:val="Encabezado"/>
    </w:pPr>
  </w:p>
  <w:p w14:paraId="6B4CA96C" w14:textId="77777777" w:rsidR="00FB14BB" w:rsidRDefault="00FB1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BEF"/>
    <w:multiLevelType w:val="hybridMultilevel"/>
    <w:tmpl w:val="72582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1B"/>
    <w:multiLevelType w:val="hybridMultilevel"/>
    <w:tmpl w:val="08B8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F3F"/>
    <w:multiLevelType w:val="hybridMultilevel"/>
    <w:tmpl w:val="DE224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80539D2"/>
    <w:multiLevelType w:val="hybridMultilevel"/>
    <w:tmpl w:val="3D08EE14"/>
    <w:lvl w:ilvl="0" w:tplc="786AF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16B1C"/>
    <w:multiLevelType w:val="hybridMultilevel"/>
    <w:tmpl w:val="F2C647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3B67"/>
    <w:multiLevelType w:val="multilevel"/>
    <w:tmpl w:val="5A7806B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48E209C"/>
    <w:multiLevelType w:val="hybridMultilevel"/>
    <w:tmpl w:val="A268D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75D5"/>
    <w:multiLevelType w:val="multilevel"/>
    <w:tmpl w:val="56B85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4417234"/>
    <w:multiLevelType w:val="hybridMultilevel"/>
    <w:tmpl w:val="A90A5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8B8"/>
    <w:multiLevelType w:val="hybridMultilevel"/>
    <w:tmpl w:val="C42EA89A"/>
    <w:lvl w:ilvl="0" w:tplc="0866B2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6E10B78"/>
    <w:multiLevelType w:val="hybridMultilevel"/>
    <w:tmpl w:val="F6DE3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8E4082"/>
    <w:multiLevelType w:val="hybridMultilevel"/>
    <w:tmpl w:val="0ED68B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A5FB5"/>
    <w:multiLevelType w:val="hybridMultilevel"/>
    <w:tmpl w:val="1BE2F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8D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60F1"/>
    <w:multiLevelType w:val="hybridMultilevel"/>
    <w:tmpl w:val="48228D5C"/>
    <w:lvl w:ilvl="0" w:tplc="4CC45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A285D"/>
    <w:multiLevelType w:val="multilevel"/>
    <w:tmpl w:val="56905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F80270A"/>
    <w:multiLevelType w:val="hybridMultilevel"/>
    <w:tmpl w:val="D78CA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64D7A"/>
    <w:multiLevelType w:val="multilevel"/>
    <w:tmpl w:val="CD1AFE2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>
    <w:nsid w:val="59BF467A"/>
    <w:multiLevelType w:val="hybridMultilevel"/>
    <w:tmpl w:val="78EEE8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24B17"/>
    <w:multiLevelType w:val="hybridMultilevel"/>
    <w:tmpl w:val="2DA6A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E55D1"/>
    <w:multiLevelType w:val="hybridMultilevel"/>
    <w:tmpl w:val="F8B03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71B56"/>
    <w:multiLevelType w:val="multilevel"/>
    <w:tmpl w:val="B77C9F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1"/>
  </w:num>
  <w:num w:numId="5">
    <w:abstractNumId w:val="23"/>
  </w:num>
  <w:num w:numId="6">
    <w:abstractNumId w:val="11"/>
  </w:num>
  <w:num w:numId="7">
    <w:abstractNumId w:val="14"/>
  </w:num>
  <w:num w:numId="8">
    <w:abstractNumId w:val="4"/>
  </w:num>
  <w:num w:numId="9">
    <w:abstractNumId w:val="16"/>
  </w:num>
  <w:num w:numId="10">
    <w:abstractNumId w:val="22"/>
  </w:num>
  <w:num w:numId="11">
    <w:abstractNumId w:val="15"/>
  </w:num>
  <w:num w:numId="12">
    <w:abstractNumId w:val="7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20"/>
  </w:num>
  <w:num w:numId="20">
    <w:abstractNumId w:val="12"/>
  </w:num>
  <w:num w:numId="21">
    <w:abstractNumId w:val="3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7"/>
    <w:rsid w:val="00031249"/>
    <w:rsid w:val="0004431A"/>
    <w:rsid w:val="00046199"/>
    <w:rsid w:val="0004640C"/>
    <w:rsid w:val="0005211E"/>
    <w:rsid w:val="00054234"/>
    <w:rsid w:val="00057BDD"/>
    <w:rsid w:val="000741A5"/>
    <w:rsid w:val="00095D9E"/>
    <w:rsid w:val="000A0A4B"/>
    <w:rsid w:val="000A14CE"/>
    <w:rsid w:val="000B4342"/>
    <w:rsid w:val="000C5663"/>
    <w:rsid w:val="000F6D9D"/>
    <w:rsid w:val="00110E28"/>
    <w:rsid w:val="00122228"/>
    <w:rsid w:val="00124459"/>
    <w:rsid w:val="00135AC9"/>
    <w:rsid w:val="00147040"/>
    <w:rsid w:val="00150040"/>
    <w:rsid w:val="00151613"/>
    <w:rsid w:val="0016260E"/>
    <w:rsid w:val="00175635"/>
    <w:rsid w:val="00180F6A"/>
    <w:rsid w:val="001B0765"/>
    <w:rsid w:val="001B75C3"/>
    <w:rsid w:val="001C67E4"/>
    <w:rsid w:val="001D1005"/>
    <w:rsid w:val="0020744C"/>
    <w:rsid w:val="00231057"/>
    <w:rsid w:val="00250FF4"/>
    <w:rsid w:val="002556D3"/>
    <w:rsid w:val="00283C54"/>
    <w:rsid w:val="002955C6"/>
    <w:rsid w:val="00297EA9"/>
    <w:rsid w:val="003154C0"/>
    <w:rsid w:val="003223DE"/>
    <w:rsid w:val="00372B08"/>
    <w:rsid w:val="00374A17"/>
    <w:rsid w:val="003A1938"/>
    <w:rsid w:val="003A4F97"/>
    <w:rsid w:val="003B341E"/>
    <w:rsid w:val="003B583D"/>
    <w:rsid w:val="003D5033"/>
    <w:rsid w:val="003D565E"/>
    <w:rsid w:val="003E4E82"/>
    <w:rsid w:val="003F00BF"/>
    <w:rsid w:val="003F0595"/>
    <w:rsid w:val="004041DB"/>
    <w:rsid w:val="00404544"/>
    <w:rsid w:val="00405FA8"/>
    <w:rsid w:val="0044074D"/>
    <w:rsid w:val="00443C56"/>
    <w:rsid w:val="00462B13"/>
    <w:rsid w:val="00470ABD"/>
    <w:rsid w:val="004719D6"/>
    <w:rsid w:val="0048412A"/>
    <w:rsid w:val="004866E2"/>
    <w:rsid w:val="00487095"/>
    <w:rsid w:val="00494132"/>
    <w:rsid w:val="004D1CA3"/>
    <w:rsid w:val="004D35E7"/>
    <w:rsid w:val="004D67C4"/>
    <w:rsid w:val="004D7525"/>
    <w:rsid w:val="004E1573"/>
    <w:rsid w:val="004E32DE"/>
    <w:rsid w:val="004E6ED0"/>
    <w:rsid w:val="004F6326"/>
    <w:rsid w:val="00505DB9"/>
    <w:rsid w:val="0051459C"/>
    <w:rsid w:val="00517787"/>
    <w:rsid w:val="00521AAE"/>
    <w:rsid w:val="00526EFB"/>
    <w:rsid w:val="00545CC0"/>
    <w:rsid w:val="005521FA"/>
    <w:rsid w:val="00563AE9"/>
    <w:rsid w:val="00564107"/>
    <w:rsid w:val="005755A0"/>
    <w:rsid w:val="00576C17"/>
    <w:rsid w:val="005D528B"/>
    <w:rsid w:val="005F0EBB"/>
    <w:rsid w:val="005F445C"/>
    <w:rsid w:val="005F5506"/>
    <w:rsid w:val="0060252B"/>
    <w:rsid w:val="00606B9E"/>
    <w:rsid w:val="00625F0B"/>
    <w:rsid w:val="006261EE"/>
    <w:rsid w:val="006552B4"/>
    <w:rsid w:val="00667101"/>
    <w:rsid w:val="006724BF"/>
    <w:rsid w:val="00686C6B"/>
    <w:rsid w:val="006B632C"/>
    <w:rsid w:val="006E4E7F"/>
    <w:rsid w:val="006F6112"/>
    <w:rsid w:val="007053D0"/>
    <w:rsid w:val="00712A17"/>
    <w:rsid w:val="007549D3"/>
    <w:rsid w:val="007558CC"/>
    <w:rsid w:val="00765700"/>
    <w:rsid w:val="007706E8"/>
    <w:rsid w:val="00777AFC"/>
    <w:rsid w:val="007807CE"/>
    <w:rsid w:val="00784BF5"/>
    <w:rsid w:val="007B4760"/>
    <w:rsid w:val="007C037F"/>
    <w:rsid w:val="007F179D"/>
    <w:rsid w:val="008249E4"/>
    <w:rsid w:val="00830246"/>
    <w:rsid w:val="00863476"/>
    <w:rsid w:val="00870F46"/>
    <w:rsid w:val="0088370A"/>
    <w:rsid w:val="008903EB"/>
    <w:rsid w:val="00891CCF"/>
    <w:rsid w:val="008A6084"/>
    <w:rsid w:val="008B375A"/>
    <w:rsid w:val="008C3EDF"/>
    <w:rsid w:val="008D745D"/>
    <w:rsid w:val="008E3791"/>
    <w:rsid w:val="008F3181"/>
    <w:rsid w:val="008F728D"/>
    <w:rsid w:val="009000F4"/>
    <w:rsid w:val="0090775A"/>
    <w:rsid w:val="00967604"/>
    <w:rsid w:val="009825F9"/>
    <w:rsid w:val="00997ED5"/>
    <w:rsid w:val="00A03D7B"/>
    <w:rsid w:val="00A3076E"/>
    <w:rsid w:val="00A528B9"/>
    <w:rsid w:val="00A548A5"/>
    <w:rsid w:val="00A548F6"/>
    <w:rsid w:val="00A56E14"/>
    <w:rsid w:val="00A67E97"/>
    <w:rsid w:val="00A723F0"/>
    <w:rsid w:val="00A73B99"/>
    <w:rsid w:val="00A84FB3"/>
    <w:rsid w:val="00AB03B9"/>
    <w:rsid w:val="00AB3A3F"/>
    <w:rsid w:val="00AC7DB7"/>
    <w:rsid w:val="00AE4043"/>
    <w:rsid w:val="00AF26E2"/>
    <w:rsid w:val="00B067C3"/>
    <w:rsid w:val="00B16A06"/>
    <w:rsid w:val="00B64BBF"/>
    <w:rsid w:val="00B81AA0"/>
    <w:rsid w:val="00B97480"/>
    <w:rsid w:val="00B97BE8"/>
    <w:rsid w:val="00BB327B"/>
    <w:rsid w:val="00BB423E"/>
    <w:rsid w:val="00BC00A9"/>
    <w:rsid w:val="00C01358"/>
    <w:rsid w:val="00C34E83"/>
    <w:rsid w:val="00C37206"/>
    <w:rsid w:val="00C45004"/>
    <w:rsid w:val="00C55AD5"/>
    <w:rsid w:val="00C61E14"/>
    <w:rsid w:val="00C827F9"/>
    <w:rsid w:val="00D04AF7"/>
    <w:rsid w:val="00D10576"/>
    <w:rsid w:val="00D2014B"/>
    <w:rsid w:val="00D2394A"/>
    <w:rsid w:val="00D40B41"/>
    <w:rsid w:val="00D47628"/>
    <w:rsid w:val="00D84566"/>
    <w:rsid w:val="00D85C4B"/>
    <w:rsid w:val="00E40480"/>
    <w:rsid w:val="00E44EDC"/>
    <w:rsid w:val="00E50099"/>
    <w:rsid w:val="00E53154"/>
    <w:rsid w:val="00E5597F"/>
    <w:rsid w:val="00E70474"/>
    <w:rsid w:val="00E71748"/>
    <w:rsid w:val="00E73B62"/>
    <w:rsid w:val="00EA1142"/>
    <w:rsid w:val="00EB12A5"/>
    <w:rsid w:val="00EC672E"/>
    <w:rsid w:val="00EF4D93"/>
    <w:rsid w:val="00F26498"/>
    <w:rsid w:val="00F40A52"/>
    <w:rsid w:val="00F65627"/>
    <w:rsid w:val="00F86B95"/>
    <w:rsid w:val="00FA0E60"/>
    <w:rsid w:val="00FB14BB"/>
    <w:rsid w:val="00FB3B09"/>
    <w:rsid w:val="00FC323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ADCF34"/>
  <w15:docId w15:val="{6B963056-A946-4A0C-9D8B-36708F8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3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F7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F1461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053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14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461"/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1461"/>
    <w:rPr>
      <w:rFonts w:eastAsia="Times New Roman" w:cs="Times New Roman"/>
      <w:color w:val="auto"/>
      <w:spacing w:val="-2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F6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249E4"/>
  </w:style>
  <w:style w:type="paragraph" w:styleId="Textodeglobo">
    <w:name w:val="Balloon Text"/>
    <w:basedOn w:val="Normal"/>
    <w:link w:val="TextodegloboCar"/>
    <w:uiPriority w:val="99"/>
    <w:semiHidden/>
    <w:unhideWhenUsed/>
    <w:rsid w:val="00FB3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09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paragraph" w:customStyle="1" w:styleId="bodytext3">
    <w:name w:val="bodytext3"/>
    <w:basedOn w:val="Normal"/>
    <w:rsid w:val="007706E8"/>
    <w:pPr>
      <w:spacing w:before="100" w:beforeAutospacing="1" w:after="100" w:afterAutospacing="1"/>
    </w:pPr>
    <w:rPr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A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VALENCIA</dc:creator>
  <cp:lastModifiedBy>Compras</cp:lastModifiedBy>
  <cp:revision>3</cp:revision>
  <cp:lastPrinted>2015-08-25T12:18:00Z</cp:lastPrinted>
  <dcterms:created xsi:type="dcterms:W3CDTF">2015-08-25T13:37:00Z</dcterms:created>
  <dcterms:modified xsi:type="dcterms:W3CDTF">2015-08-25T13:37:00Z</dcterms:modified>
</cp:coreProperties>
</file>